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4F84013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 xml:space="preserve">Webex Customer Experience Essentials </w:t>
            </w:r>
            <w:r w:rsidR="00CD363D">
              <w:rPr>
                <w:rStyle w:val="normaltextrun"/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73B7738C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="0016750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</w:t>
            </w:r>
            <w:r w:rsidR="005D2A55">
              <w:rPr>
                <w:rStyle w:val="normaltextrun"/>
                <w:rFonts w:ascii="Arial" w:hAnsi="Arial" w:cs="Arial"/>
                <w:b/>
                <w:bCs/>
              </w:rPr>
              <w:t>ustomer Experience Essentials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</w:t>
            </w:r>
            <w:r w:rsidR="000B6B23">
              <w:rPr>
                <w:rStyle w:val="normaltextrun"/>
                <w:rFonts w:ascii="Arial" w:hAnsi="Arial" w:cs="Arial"/>
                <w:b/>
                <w:bCs/>
              </w:rPr>
              <w:t>Accessible through</w:t>
            </w:r>
            <w:r w:rsidR="008129D9">
              <w:rPr>
                <w:rStyle w:val="normaltextrun"/>
                <w:rFonts w:ascii="Arial" w:hAnsi="Arial" w:cs="Arial"/>
                <w:b/>
                <w:bCs/>
              </w:rPr>
              <w:t xml:space="preserve"> Webex App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to keep you connected to your customers, regardless of where you are working from.</w:t>
            </w:r>
            <w:r w:rsidR="005D156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7941E720" w:rsidR="00DD733E" w:rsidRPr="00873AF4" w:rsidRDefault="007345E7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A928A4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280A9019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 w:rsidR="00FE1AF1"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 xml:space="preserve">Webex Customer Experience Essentials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 w:rsidR="00FE1AF1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7CD6CB9E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022916">
              <w:rPr>
                <w:rStyle w:val="normaltextrun"/>
                <w:rFonts w:ascii="Arial" w:hAnsi="Arial" w:cs="Arial"/>
                <w:b/>
                <w:bCs/>
              </w:rPr>
              <w:t>Customer Experience Essentials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161F2F4A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7A2749">
              <w:rPr>
                <w:rStyle w:val="normaltextrun"/>
                <w:rFonts w:ascii="Arial" w:hAnsi="Arial" w:cs="Arial"/>
                <w:b/>
                <w:bCs/>
              </w:rPr>
              <w:t>Customer Experience Essentials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>Webex Customer Experience Essentials</w:t>
            </w:r>
            <w:r w:rsidR="00CB1A2E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 w:rsidR="00D224F8"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 w:rsidR="002741B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580C3665" w:rsidR="00DD733E" w:rsidRPr="00712919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CB1A2E">
              <w:rPr>
                <w:rStyle w:val="normaltextrun"/>
                <w:rFonts w:ascii="Arial" w:hAnsi="Arial" w:cs="Arial"/>
                <w:b/>
                <w:bCs/>
              </w:rPr>
              <w:t>Webex Customer Experience Essentials</w:t>
            </w:r>
            <w:r w:rsidR="00EC3393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2E7C7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Webex Customer Experience Essentials </w:t>
            </w:r>
            <w:r w:rsidR="00712919"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67119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accessible via the Webex App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to keep you connected to your customers, regardless of where you are working from.</w:t>
            </w:r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741B0"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741B0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741B0"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WebexCustomerExperienceEssentials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28F23C20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 xml:space="preserve">Webex Customer Experience Essentials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A9EAA31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Are you getting the most of your</w:t>
            </w:r>
            <w:r w:rsidR="00330E9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CB1A2E">
              <w:rPr>
                <w:rStyle w:val="normaltextrun"/>
                <w:rFonts w:ascii="Arial" w:hAnsi="Arial" w:cs="Arial"/>
                <w:b/>
                <w:bCs/>
              </w:rPr>
              <w:t>Webex Customer Experience Essentials</w:t>
            </w:r>
            <w:r w:rsidR="00F71C05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045B5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3B2F0A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A045B5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 w:rsidR="00946C3A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946C3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946C3A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946C3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2E7C77">
              <w:rPr>
                <w:rStyle w:val="normaltextrun"/>
                <w:rFonts w:ascii="Arial" w:hAnsi="Arial" w:cs="Arial"/>
                <w:color w:val="808080" w:themeColor="background1" w:themeShade="80"/>
              </w:rPr>
              <w:t>WebexCustomerExperienceEssentials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AC57" w14:textId="77777777" w:rsidR="0072504C" w:rsidRDefault="0072504C" w:rsidP="00C26D8B">
      <w:r>
        <w:separator/>
      </w:r>
    </w:p>
  </w:endnote>
  <w:endnote w:type="continuationSeparator" w:id="0">
    <w:p w14:paraId="68A9871C" w14:textId="77777777" w:rsidR="0072504C" w:rsidRDefault="0072504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260CEED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C85009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087E" w14:textId="77777777" w:rsidR="0072504C" w:rsidRDefault="0072504C" w:rsidP="00C26D8B">
      <w:r>
        <w:separator/>
      </w:r>
    </w:p>
  </w:footnote>
  <w:footnote w:type="continuationSeparator" w:id="0">
    <w:p w14:paraId="781DFE85" w14:textId="77777777" w:rsidR="0072504C" w:rsidRDefault="0072504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2916"/>
    <w:rsid w:val="0009445C"/>
    <w:rsid w:val="000B6B23"/>
    <w:rsid w:val="000D5007"/>
    <w:rsid w:val="000E0DCB"/>
    <w:rsid w:val="000E17A7"/>
    <w:rsid w:val="000F261B"/>
    <w:rsid w:val="0011134D"/>
    <w:rsid w:val="0012651C"/>
    <w:rsid w:val="0015241A"/>
    <w:rsid w:val="00167504"/>
    <w:rsid w:val="00171BEA"/>
    <w:rsid w:val="001952A8"/>
    <w:rsid w:val="00196256"/>
    <w:rsid w:val="002174FC"/>
    <w:rsid w:val="00233F7A"/>
    <w:rsid w:val="00246086"/>
    <w:rsid w:val="002741B0"/>
    <w:rsid w:val="00276EFC"/>
    <w:rsid w:val="002828BF"/>
    <w:rsid w:val="00295901"/>
    <w:rsid w:val="002C4436"/>
    <w:rsid w:val="002E7C77"/>
    <w:rsid w:val="002F4ACE"/>
    <w:rsid w:val="00330E91"/>
    <w:rsid w:val="00342183"/>
    <w:rsid w:val="00384101"/>
    <w:rsid w:val="003A5A9B"/>
    <w:rsid w:val="003B199E"/>
    <w:rsid w:val="003B2F0A"/>
    <w:rsid w:val="0041328B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17D1F"/>
    <w:rsid w:val="00527D27"/>
    <w:rsid w:val="00552805"/>
    <w:rsid w:val="0057601C"/>
    <w:rsid w:val="005A5078"/>
    <w:rsid w:val="005D1560"/>
    <w:rsid w:val="005D2A55"/>
    <w:rsid w:val="005D3BA1"/>
    <w:rsid w:val="00622B63"/>
    <w:rsid w:val="0063058A"/>
    <w:rsid w:val="00651E00"/>
    <w:rsid w:val="00671194"/>
    <w:rsid w:val="006D1364"/>
    <w:rsid w:val="00712919"/>
    <w:rsid w:val="0072504C"/>
    <w:rsid w:val="007345E7"/>
    <w:rsid w:val="00760C34"/>
    <w:rsid w:val="007653A5"/>
    <w:rsid w:val="00773C53"/>
    <w:rsid w:val="007A2749"/>
    <w:rsid w:val="008067CD"/>
    <w:rsid w:val="00810346"/>
    <w:rsid w:val="00810DB3"/>
    <w:rsid w:val="00811ABF"/>
    <w:rsid w:val="008129D9"/>
    <w:rsid w:val="00817FC2"/>
    <w:rsid w:val="00832495"/>
    <w:rsid w:val="008654AC"/>
    <w:rsid w:val="00873AF4"/>
    <w:rsid w:val="00886A01"/>
    <w:rsid w:val="008963A3"/>
    <w:rsid w:val="008D7A2C"/>
    <w:rsid w:val="008E1A5E"/>
    <w:rsid w:val="00946C3A"/>
    <w:rsid w:val="009974BF"/>
    <w:rsid w:val="009D0A1E"/>
    <w:rsid w:val="009E52C8"/>
    <w:rsid w:val="00A045B5"/>
    <w:rsid w:val="00A242DD"/>
    <w:rsid w:val="00A279B1"/>
    <w:rsid w:val="00A928A4"/>
    <w:rsid w:val="00AB17D8"/>
    <w:rsid w:val="00AC6137"/>
    <w:rsid w:val="00B5457E"/>
    <w:rsid w:val="00B74840"/>
    <w:rsid w:val="00B82593"/>
    <w:rsid w:val="00BD0997"/>
    <w:rsid w:val="00BE6010"/>
    <w:rsid w:val="00BF18E5"/>
    <w:rsid w:val="00C154B9"/>
    <w:rsid w:val="00C26D8B"/>
    <w:rsid w:val="00C503D5"/>
    <w:rsid w:val="00C5400F"/>
    <w:rsid w:val="00C55871"/>
    <w:rsid w:val="00C72D0D"/>
    <w:rsid w:val="00C82780"/>
    <w:rsid w:val="00C83B3F"/>
    <w:rsid w:val="00C85009"/>
    <w:rsid w:val="00C92D7C"/>
    <w:rsid w:val="00CA4004"/>
    <w:rsid w:val="00CB1A2E"/>
    <w:rsid w:val="00CD363D"/>
    <w:rsid w:val="00CE1FA6"/>
    <w:rsid w:val="00D224F8"/>
    <w:rsid w:val="00D26DC2"/>
    <w:rsid w:val="00D340EA"/>
    <w:rsid w:val="00D42726"/>
    <w:rsid w:val="00D429EC"/>
    <w:rsid w:val="00D63F3D"/>
    <w:rsid w:val="00D667F7"/>
    <w:rsid w:val="00D80F9F"/>
    <w:rsid w:val="00D93F3A"/>
    <w:rsid w:val="00DA1F10"/>
    <w:rsid w:val="00DA72FA"/>
    <w:rsid w:val="00DC30EE"/>
    <w:rsid w:val="00DD0ECF"/>
    <w:rsid w:val="00DD733E"/>
    <w:rsid w:val="00E06419"/>
    <w:rsid w:val="00E13789"/>
    <w:rsid w:val="00E467C0"/>
    <w:rsid w:val="00E62EA6"/>
    <w:rsid w:val="00E82178"/>
    <w:rsid w:val="00EA6958"/>
    <w:rsid w:val="00EC3393"/>
    <w:rsid w:val="00EC7E2E"/>
    <w:rsid w:val="00EE3630"/>
    <w:rsid w:val="00F27285"/>
    <w:rsid w:val="00F36570"/>
    <w:rsid w:val="00F71C05"/>
    <w:rsid w:val="00F76D08"/>
    <w:rsid w:val="00FE0435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5D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ustomer-experience-essential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ustomer-experience-essentials" TargetMode="External"/><Relationship Id="rId17" Type="http://schemas.openxmlformats.org/officeDocument/2006/relationships/hyperlink" Target="https://business.bt.com/user-adoption/cisco/webex-customer-experience-essenti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cisco/webex-customer-experience-essenti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ustomer-experience-essentials" TargetMode="External"/><Relationship Id="rId10" Type="http://schemas.openxmlformats.org/officeDocument/2006/relationships/hyperlink" Target="https://business.bt.com/user-adoption/cisco/webex-customer-experience-essential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ustomer-experience-essenti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B0B59A5F-23CF-4B24-8753-EA84BD65B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50</cp:revision>
  <dcterms:created xsi:type="dcterms:W3CDTF">2023-02-16T15:26:00Z</dcterms:created>
  <dcterms:modified xsi:type="dcterms:W3CDTF">2024-12-05T08:36:00Z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